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82" w:rsidRPr="00154598" w:rsidRDefault="001D5782" w:rsidP="001D5782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1D5782" w:rsidRPr="00154598" w:rsidRDefault="001D5782" w:rsidP="001D5782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</w:r>
      <w:r w:rsidRPr="001D5782">
        <w:rPr>
          <w:b/>
          <w:sz w:val="26"/>
        </w:rPr>
        <w:t xml:space="preserve">№2-цены приобретения (зерно) «Сведения о средних ценах на приобретенное </w:t>
      </w:r>
      <w:r>
        <w:rPr>
          <w:b/>
          <w:sz w:val="26"/>
        </w:rPr>
        <w:br/>
      </w:r>
      <w:r w:rsidRPr="001D5782">
        <w:rPr>
          <w:b/>
          <w:sz w:val="26"/>
        </w:rPr>
        <w:t>промышленными организациями зерно для основного производства»</w:t>
      </w:r>
    </w:p>
    <w:p w:rsidR="00CC6979" w:rsidRPr="00CC6979" w:rsidRDefault="00CC6979" w:rsidP="00F70E71">
      <w:pPr>
        <w:ind w:firstLine="709"/>
        <w:jc w:val="both"/>
        <w:rPr>
          <w:b/>
        </w:rPr>
      </w:pPr>
      <w:r w:rsidRPr="00CC6979">
        <w:t xml:space="preserve">1. </w:t>
      </w:r>
      <w:proofErr w:type="gramStart"/>
      <w:r w:rsidR="00F70E71">
        <w:t xml:space="preserve">Форму </w:t>
      </w:r>
      <w:r w:rsidR="00F70E71">
        <w:rPr>
          <w:szCs w:val="24"/>
        </w:rPr>
        <w:t>федерального статистического наблюдения</w:t>
      </w:r>
      <w:r w:rsidR="00F70E71">
        <w:t xml:space="preserve"> № 2-цены приобретения (зерно) «</w:t>
      </w:r>
      <w:r w:rsidRPr="00CC6979">
        <w:t xml:space="preserve">Сведения о </w:t>
      </w:r>
      <w:r w:rsidR="00F70E71">
        <w:t>средних ценах на приобретенное промышленными организациями зерно для основного производства» (далее – форма</w:t>
      </w:r>
      <w:r w:rsidR="00F70E71" w:rsidRPr="00F70E71">
        <w:t>)</w:t>
      </w:r>
      <w:r w:rsidR="00F70E71">
        <w:t xml:space="preserve"> предоставляют юридические лица</w:t>
      </w:r>
      <w:r w:rsidR="00995E7E">
        <w:t xml:space="preserve"> (кроме </w:t>
      </w:r>
      <w:proofErr w:type="spellStart"/>
      <w:r w:rsidR="00995E7E">
        <w:t>микропредприятий</w:t>
      </w:r>
      <w:proofErr w:type="spellEnd"/>
      <w:r w:rsidR="00995E7E">
        <w:t>)</w:t>
      </w:r>
      <w:r w:rsidRPr="00CC6979">
        <w:t xml:space="preserve">, осуществляющие производство продуктов мукомольной и крупяной промышленности, готовых кормов для животных, растительных и животных масел и жиров, кукурузного масла, пива и солода, этилового спирта из </w:t>
      </w:r>
      <w:proofErr w:type="spellStart"/>
      <w:r w:rsidRPr="00CC6979">
        <w:t>сброженных</w:t>
      </w:r>
      <w:proofErr w:type="spellEnd"/>
      <w:r w:rsidRPr="00CC6979">
        <w:t xml:space="preserve"> материалов, крахмала и крахмалосодержащих продуктов, приобретающие для основного</w:t>
      </w:r>
      <w:proofErr w:type="gramEnd"/>
      <w:r w:rsidRPr="00CC6979">
        <w:t xml:space="preserve"> производства зерно </w:t>
      </w:r>
      <w:r w:rsidRPr="00CC6979">
        <w:rPr>
          <w:b/>
        </w:rPr>
        <w:t>отечественных производителей.</w:t>
      </w:r>
    </w:p>
    <w:p w:rsidR="00CC6979" w:rsidRPr="00CC6979" w:rsidRDefault="00CC6979" w:rsidP="00CC6979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szCs w:val="18"/>
        </w:rPr>
      </w:pPr>
      <w:r w:rsidRPr="00CC6979">
        <w:t xml:space="preserve">Форму предоставляют также филиалы, представительства и </w:t>
      </w:r>
      <w:proofErr w:type="gramStart"/>
      <w:r w:rsidRPr="00CC6979">
        <w:t>подразделения</w:t>
      </w:r>
      <w:proofErr w:type="gramEnd"/>
      <w:r w:rsidRPr="00CC6979"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t>2. Юридическое лицо заполняет настоящую форму и предоставляет ее в территориальный орган Росстата по месту своего нахождения.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t>При наличии у юридического лица обособленных подразделений</w:t>
      </w:r>
      <w:proofErr w:type="gramStart"/>
      <w:r>
        <w:rPr>
          <w:vertAlign w:val="superscript"/>
        </w:rPr>
        <w:t>1</w:t>
      </w:r>
      <w:proofErr w:type="gramEnd"/>
      <w:r w:rsidRPr="00CC6979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547416" w:rsidRPr="00402F02" w:rsidRDefault="00CC6979" w:rsidP="00547416">
      <w:pPr>
        <w:ind w:firstLine="709"/>
        <w:jc w:val="both"/>
      </w:pPr>
      <w:r w:rsidRPr="00CC6979">
        <w:t xml:space="preserve">Руководитель юридического лица назначает должностных лиц, уполномоченных предоставлять </w:t>
      </w:r>
      <w:r>
        <w:t>первичные статистические данные</w:t>
      </w:r>
      <w:r w:rsidRPr="00CC6979">
        <w:t xml:space="preserve"> от имени юридического лица.</w:t>
      </w:r>
      <w:r w:rsidR="001D5782">
        <w:t xml:space="preserve"> </w:t>
      </w:r>
      <w:r w:rsidR="00547416" w:rsidRPr="00402F02">
        <w:t>Временно не работающие организации, на которых в течение части отчетного периода осуществлялась деятельность, предоставляют форму на общих основаниях с указанием, с какого времени они не работают.</w:t>
      </w:r>
    </w:p>
    <w:p w:rsidR="00547416" w:rsidRPr="00402F02" w:rsidRDefault="00547416" w:rsidP="00547416">
      <w:pPr>
        <w:ind w:firstLine="709"/>
        <w:jc w:val="both"/>
      </w:pPr>
      <w:r w:rsidRPr="00402F02">
        <w:t xml:space="preserve">Организации-банкроты, на которых введено конкурсное производство, не освобождаются от предоставления первичных статистических данных по форме. </w:t>
      </w:r>
      <w:proofErr w:type="gramStart"/>
      <w:r w:rsidRPr="00402F02">
        <w:t>Только после вынесения определения арбитражного суда о завершении в отношении организации конкурсного производства и внесения в единых государственный реестр юридических лиц записи о его ликвидации (п.</w:t>
      </w:r>
      <w:r w:rsidR="00F56E6E">
        <w:t xml:space="preserve"> </w:t>
      </w:r>
      <w:r w:rsidRPr="00402F02">
        <w:t>3 ст.</w:t>
      </w:r>
      <w:r w:rsidR="00F56E6E">
        <w:t xml:space="preserve"> </w:t>
      </w:r>
      <w:r w:rsidRPr="00402F02">
        <w:t>149 Федерального закона от 26.10.2002 №127-ФЗ «О несостоятельности (банкротстве)») организация-должник считается ликвидированной и освобождается от предоставления первичных статистических данных по указанной форме.</w:t>
      </w:r>
      <w:proofErr w:type="gramEnd"/>
    </w:p>
    <w:p w:rsidR="00547416" w:rsidRPr="00402F02" w:rsidRDefault="00547416" w:rsidP="00547416">
      <w:pPr>
        <w:ind w:firstLine="720"/>
        <w:jc w:val="both"/>
        <w:rPr>
          <w:szCs w:val="24"/>
          <w:lang w:val="en-US"/>
        </w:rPr>
      </w:pPr>
      <w:r w:rsidRPr="00402F02">
        <w:rPr>
          <w:szCs w:val="24"/>
        </w:rPr>
        <w:t xml:space="preserve">При реорганизации юридического лица в форме преобразования юридическое лицо, являющееся правопреемником, должно </w:t>
      </w:r>
      <w:proofErr w:type="gramStart"/>
      <w:r w:rsidRPr="00402F02">
        <w:rPr>
          <w:szCs w:val="24"/>
        </w:rPr>
        <w:t>предоставлять отчет</w:t>
      </w:r>
      <w:proofErr w:type="gramEnd"/>
      <w:r w:rsidRPr="00402F02">
        <w:rPr>
          <w:szCs w:val="24"/>
        </w:rPr>
        <w:t xml:space="preserve"> по форме в срок, указанный на бланке формы, с начала отчетного месяца, в котором произошла реорганизация юридического лица.</w:t>
      </w:r>
    </w:p>
    <w:p w:rsidR="00547416" w:rsidRPr="004E5E2D" w:rsidRDefault="00547416" w:rsidP="00547416">
      <w:pPr>
        <w:ind w:firstLine="720"/>
        <w:jc w:val="both"/>
        <w:rPr>
          <w:szCs w:val="24"/>
        </w:rPr>
      </w:pPr>
      <w:r w:rsidRPr="004E5E2D">
        <w:rPr>
          <w:szCs w:val="24"/>
        </w:rPr>
        <w:t>____________________</w:t>
      </w:r>
    </w:p>
    <w:p w:rsidR="00547416" w:rsidRPr="00CC6979" w:rsidRDefault="00547416" w:rsidP="004E5E2D">
      <w:pPr>
        <w:spacing w:line="260" w:lineRule="exact"/>
        <w:jc w:val="both"/>
        <w:rPr>
          <w:sz w:val="20"/>
        </w:rPr>
      </w:pPr>
      <w:r w:rsidRPr="00CC6979">
        <w:rPr>
          <w:sz w:val="20"/>
        </w:rPr>
        <w:t xml:space="preserve">              </w:t>
      </w:r>
      <w:r w:rsidRPr="00CC6979">
        <w:rPr>
          <w:sz w:val="20"/>
          <w:vertAlign w:val="superscript"/>
        </w:rPr>
        <w:t>1</w:t>
      </w:r>
      <w:r w:rsidRPr="00CC6979">
        <w:rPr>
          <w:sz w:val="20"/>
        </w:rPr>
        <w:t xml:space="preserve">Обособленное подразделение организации </w:t>
      </w:r>
      <w:r w:rsidR="00532D3D">
        <w:rPr>
          <w:sz w:val="20"/>
        </w:rPr>
        <w:sym w:font="Symbol" w:char="F02D"/>
      </w:r>
      <w:r w:rsidRPr="00CC6979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547416" w:rsidRPr="00CC6979" w:rsidRDefault="00547416" w:rsidP="00BF4485">
      <w:pPr>
        <w:spacing w:line="270" w:lineRule="exact"/>
        <w:ind w:firstLine="567"/>
        <w:jc w:val="both"/>
      </w:pPr>
      <w:r w:rsidRPr="00CC6979">
        <w:lastRenderedPageBreak/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CC6979" w:rsidRPr="00CC6979" w:rsidRDefault="00CC6979" w:rsidP="00BF4485">
      <w:pPr>
        <w:spacing w:line="270" w:lineRule="exact"/>
        <w:ind w:firstLine="567"/>
        <w:jc w:val="both"/>
      </w:pPr>
      <w:proofErr w:type="gramStart"/>
      <w:r w:rsidRPr="00CC6979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CC6979"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CC6979" w:rsidRPr="00411CFE" w:rsidRDefault="00CC6979" w:rsidP="00411CFE">
      <w:pPr>
        <w:ind w:firstLine="567"/>
        <w:jc w:val="both"/>
        <w:rPr>
          <w:strike/>
        </w:rPr>
      </w:pPr>
      <w:r w:rsidRPr="00411CFE">
        <w:t xml:space="preserve">3. В кодовой части титульного листа формы на основании Уведомления о присвоении кода ОКПО (идентификационного номера),  размещенного на </w:t>
      </w:r>
      <w:proofErr w:type="gramStart"/>
      <w:r w:rsidRPr="00411CFE">
        <w:t>Интернет-портале</w:t>
      </w:r>
      <w:proofErr w:type="gramEnd"/>
      <w:r w:rsidRPr="00411CFE">
        <w:t xml:space="preserve"> Росстата по адресу: </w:t>
      </w:r>
      <w:hyperlink r:id="rId8" w:anchor="!/gs/statistic-codes" w:history="1">
        <w:r w:rsidR="00411CFE" w:rsidRPr="004E5E2D">
          <w:rPr>
            <w:rStyle w:val="af8"/>
            <w:color w:val="auto"/>
            <w:u w:val="none"/>
            <w:lang w:val="en-US"/>
          </w:rPr>
          <w:t>http</w:t>
        </w:r>
        <w:r w:rsidR="00411CFE" w:rsidRPr="004E5E2D">
          <w:rPr>
            <w:rStyle w:val="af8"/>
            <w:color w:val="auto"/>
            <w:u w:val="none"/>
          </w:rPr>
          <w:t>://</w:t>
        </w:r>
        <w:proofErr w:type="spellStart"/>
        <w:r w:rsidR="00411CFE" w:rsidRPr="004E5E2D">
          <w:rPr>
            <w:rStyle w:val="af8"/>
            <w:color w:val="auto"/>
            <w:u w:val="none"/>
            <w:lang w:val="en-US"/>
          </w:rPr>
          <w:t>websbor</w:t>
        </w:r>
        <w:proofErr w:type="spellEnd"/>
        <w:r w:rsidR="00411CFE" w:rsidRPr="004E5E2D">
          <w:rPr>
            <w:rStyle w:val="af8"/>
            <w:color w:val="auto"/>
            <w:u w:val="none"/>
          </w:rPr>
          <w:t>.</w:t>
        </w:r>
        <w:r w:rsidR="00411CFE" w:rsidRPr="004E5E2D">
          <w:rPr>
            <w:rStyle w:val="af8"/>
            <w:color w:val="auto"/>
            <w:u w:val="none"/>
            <w:lang w:val="en-US"/>
          </w:rPr>
          <w:t>gks</w:t>
        </w:r>
        <w:r w:rsidR="00411CFE" w:rsidRPr="004E5E2D">
          <w:rPr>
            <w:rStyle w:val="af8"/>
            <w:color w:val="auto"/>
            <w:u w:val="none"/>
          </w:rPr>
          <w:t>.</w:t>
        </w:r>
        <w:proofErr w:type="spellStart"/>
        <w:r w:rsidR="00411CFE" w:rsidRPr="004E5E2D">
          <w:rPr>
            <w:rStyle w:val="af8"/>
            <w:color w:val="auto"/>
            <w:u w:val="none"/>
            <w:lang w:val="en-US"/>
          </w:rPr>
          <w:t>ru</w:t>
        </w:r>
        <w:proofErr w:type="spellEnd"/>
        <w:r w:rsidR="00411CFE" w:rsidRPr="004E5E2D">
          <w:rPr>
            <w:rStyle w:val="af8"/>
            <w:color w:val="auto"/>
            <w:u w:val="none"/>
          </w:rPr>
          <w:t>/</w:t>
        </w:r>
        <w:r w:rsidR="00411CFE" w:rsidRPr="004E5E2D">
          <w:rPr>
            <w:rStyle w:val="af8"/>
            <w:color w:val="auto"/>
            <w:u w:val="none"/>
            <w:lang w:val="en-US"/>
          </w:rPr>
          <w:t>online</w:t>
        </w:r>
        <w:r w:rsidR="00411CFE" w:rsidRPr="004E5E2D">
          <w:rPr>
            <w:rStyle w:val="af8"/>
            <w:color w:val="auto"/>
            <w:u w:val="none"/>
          </w:rPr>
          <w:t>/#!/</w:t>
        </w:r>
        <w:proofErr w:type="spellStart"/>
        <w:r w:rsidR="00411CFE" w:rsidRPr="004E5E2D">
          <w:rPr>
            <w:rStyle w:val="af8"/>
            <w:color w:val="auto"/>
            <w:u w:val="none"/>
            <w:lang w:val="en-US"/>
          </w:rPr>
          <w:t>gs</w:t>
        </w:r>
        <w:proofErr w:type="spellEnd"/>
        <w:r w:rsidR="00411CFE" w:rsidRPr="004E5E2D">
          <w:rPr>
            <w:rStyle w:val="af8"/>
            <w:color w:val="auto"/>
            <w:u w:val="none"/>
          </w:rPr>
          <w:t>/</w:t>
        </w:r>
        <w:r w:rsidR="00411CFE" w:rsidRPr="004E5E2D">
          <w:rPr>
            <w:rStyle w:val="af8"/>
            <w:color w:val="auto"/>
            <w:u w:val="none"/>
            <w:lang w:val="en-US"/>
          </w:rPr>
          <w:t>statistic</w:t>
        </w:r>
        <w:r w:rsidR="00411CFE" w:rsidRPr="004E5E2D">
          <w:rPr>
            <w:rStyle w:val="af8"/>
            <w:color w:val="auto"/>
            <w:u w:val="none"/>
          </w:rPr>
          <w:t>-</w:t>
        </w:r>
        <w:r w:rsidR="00411CFE" w:rsidRPr="004E5E2D">
          <w:rPr>
            <w:rStyle w:val="af8"/>
            <w:color w:val="auto"/>
            <w:u w:val="none"/>
            <w:lang w:val="en-US"/>
          </w:rPr>
          <w:t>codes</w:t>
        </w:r>
      </w:hyperlink>
      <w:r w:rsidRPr="00411CFE">
        <w:t>, отчитывающаяся организация проставляет:</w:t>
      </w:r>
    </w:p>
    <w:p w:rsidR="00CC6979" w:rsidRPr="00CC6979" w:rsidRDefault="00CC6979" w:rsidP="00CC6979">
      <w:pPr>
        <w:ind w:firstLine="567"/>
        <w:jc w:val="both"/>
        <w:rPr>
          <w:color w:val="000000"/>
        </w:rPr>
      </w:pPr>
      <w:r w:rsidRPr="00CC6979">
        <w:rPr>
          <w:color w:val="000000"/>
        </w:rPr>
        <w:t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</w:t>
      </w:r>
    </w:p>
    <w:p w:rsidR="00F70E71" w:rsidRPr="00CC6979" w:rsidRDefault="00F70E71" w:rsidP="00F70E71">
      <w:pPr>
        <w:ind w:firstLine="567"/>
        <w:jc w:val="both"/>
        <w:rPr>
          <w:color w:val="000000"/>
        </w:rPr>
      </w:pPr>
      <w:r w:rsidRPr="00CC6979">
        <w:rPr>
          <w:color w:val="000000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CC6979" w:rsidRPr="00547416" w:rsidRDefault="00CC6979" w:rsidP="00CC6979">
      <w:pPr>
        <w:ind w:firstLine="567"/>
        <w:jc w:val="both"/>
        <w:rPr>
          <w:color w:val="000000"/>
        </w:rPr>
      </w:pPr>
      <w:r w:rsidRPr="00CC6979">
        <w:rPr>
          <w:color w:val="000000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886E20" w:rsidRDefault="00886E20" w:rsidP="00886E20">
      <w:pPr>
        <w:ind w:firstLine="567"/>
        <w:jc w:val="both"/>
      </w:pPr>
      <w:r w:rsidRPr="00886E20">
        <w:t xml:space="preserve">По </w:t>
      </w:r>
      <w:hyperlink r:id="rId9" w:history="1">
        <w:r w:rsidRPr="00886E20">
          <w:rPr>
            <w:rStyle w:val="af8"/>
            <w:color w:val="auto"/>
            <w:u w:val="none"/>
          </w:rPr>
          <w:t>форме</w:t>
        </w:r>
      </w:hyperlink>
      <w:r w:rsidRPr="00886E20">
        <w:t xml:space="preserve"> за отчетный период возможно направление респондентом либо подписанного в установленном порядке отчета, незаполненного значениями показателей («пустого» отчета по форме), либо официального информационного письма в соответствующий территориальный орган Росстата об отсутствии в отчетном периоде наблюдаемого по форме события.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Отчет  по форме должен быть подписан в установленном порядке.</w:t>
      </w:r>
    </w:p>
    <w:p w:rsidR="00CC6979" w:rsidRPr="00CC6979" w:rsidRDefault="00CC6979" w:rsidP="00BF4485">
      <w:pPr>
        <w:spacing w:line="270" w:lineRule="exact"/>
        <w:ind w:firstLine="567"/>
        <w:jc w:val="both"/>
      </w:pPr>
      <w:r w:rsidRPr="00CC6979">
        <w:t>4. Основанием для заполн</w:t>
      </w:r>
      <w:r w:rsidR="00C6188A">
        <w:t>ения формы является и</w:t>
      </w:r>
      <w:r w:rsidR="00A100C3">
        <w:t>нформация</w:t>
      </w:r>
      <w:r w:rsidR="00C6188A">
        <w:t>,</w:t>
      </w:r>
      <w:r w:rsidR="00A100C3">
        <w:t xml:space="preserve"> содержащаяся в </w:t>
      </w:r>
      <w:proofErr w:type="gramStart"/>
      <w:r w:rsidR="00A100C3">
        <w:t>счет-фактуре</w:t>
      </w:r>
      <w:proofErr w:type="gramEnd"/>
      <w:r w:rsidR="00A100C3">
        <w:t>.</w:t>
      </w:r>
    </w:p>
    <w:p w:rsidR="00CC6979" w:rsidRPr="00CC6979" w:rsidRDefault="00CC6979" w:rsidP="00BF4485">
      <w:pPr>
        <w:spacing w:line="270" w:lineRule="exact"/>
        <w:ind w:firstLine="567"/>
        <w:jc w:val="both"/>
        <w:rPr>
          <w:color w:val="000000"/>
        </w:rPr>
      </w:pPr>
      <w:r w:rsidRPr="00CC6979">
        <w:t xml:space="preserve">5. </w:t>
      </w:r>
      <w:proofErr w:type="gramStart"/>
      <w:r w:rsidRPr="00CC6979">
        <w:t xml:space="preserve">В наблюдении участвуют следующие виды зерна, приобретаемые промышленными организациями: пшеница твердая, </w:t>
      </w:r>
      <w:r w:rsidRPr="00CC6979">
        <w:rPr>
          <w:color w:val="000000"/>
        </w:rPr>
        <w:t>пшеница  мягкая 1 класса, пшеница  мягкая 2 класса, пшеница  мягкая 3 класса, пшеница  мягкая 4 класса, пшеница  мягкая 5 класса, рожь, ячмень, овес, кукуруза, просо, гречиха, горох сушеный, семена подсолнечника, бобы соевые.</w:t>
      </w:r>
      <w:proofErr w:type="gramEnd"/>
    </w:p>
    <w:p w:rsidR="00CC6979" w:rsidRPr="00CC6979" w:rsidRDefault="00CC6979" w:rsidP="00BF4485">
      <w:pPr>
        <w:spacing w:line="270" w:lineRule="exact"/>
        <w:ind w:firstLine="567"/>
        <w:jc w:val="both"/>
      </w:pPr>
      <w:r w:rsidRPr="00CC6979">
        <w:t xml:space="preserve">6. </w:t>
      </w:r>
      <w:proofErr w:type="gramStart"/>
      <w:r w:rsidRPr="00CC6979">
        <w:t>Форма предоставляется организацией с месячной периодичностью 15 числа после отчетного месяца по вышеперечисленным видам зерна с выделением направлений его использования: на производство продуктов мукомольной и крупяной промышленности (1</w:t>
      </w:r>
      <w:r w:rsidR="00995E7E">
        <w:t>8</w:t>
      </w:r>
      <w:r w:rsidRPr="00CC6979">
        <w:t>), на производство готовых к</w:t>
      </w:r>
      <w:r w:rsidR="00995E7E">
        <w:t>ормов для животных (19</w:t>
      </w:r>
      <w:r w:rsidRPr="00CC6979">
        <w:t>), другие направления использования (производство растительных и животных масел (3), пива и солода (4), спирта (5), крахмала и крахмалосодержащих продуктов (6)).</w:t>
      </w:r>
      <w:proofErr w:type="gramEnd"/>
    </w:p>
    <w:p w:rsidR="00CC6979" w:rsidRPr="00CC6979" w:rsidRDefault="00CC6979" w:rsidP="00BF4485">
      <w:pPr>
        <w:spacing w:line="270" w:lineRule="exact"/>
        <w:ind w:firstLine="567"/>
        <w:jc w:val="both"/>
      </w:pPr>
      <w:r w:rsidRPr="00CC6979">
        <w:t>7. При наблюдении за ценами  приобретения для заполнения формы необходимо выделить из общего объема приобретенного зерна различных направлений использования наиболее представительны</w:t>
      </w:r>
      <w:r w:rsidR="005A3554">
        <w:t>е его подвиды (классы, типы и тому подобное</w:t>
      </w:r>
      <w:r w:rsidRPr="00CC6979">
        <w:t xml:space="preserve">). При отборе следует учитывать следующее: 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t xml:space="preserve">а) выбранные подвиды зерна с соответствующими качественными характеристиками должны преобладать в переработке зерна </w:t>
      </w:r>
      <w:r w:rsidRPr="00CC6979">
        <w:br/>
        <w:t>выделенного направления использования;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lastRenderedPageBreak/>
        <w:t>б) приобретение отобранных для наблюдения подвидов зерна с обозначенными качественными характеристиками должно носить стабильный характер.</w:t>
      </w:r>
    </w:p>
    <w:p w:rsidR="00CC6979" w:rsidRPr="00CC6979" w:rsidRDefault="00CC6979" w:rsidP="00CC6979">
      <w:pPr>
        <w:spacing w:line="270" w:lineRule="exact"/>
        <w:ind w:firstLine="709"/>
        <w:jc w:val="both"/>
      </w:pPr>
      <w:r w:rsidRPr="00CC6979">
        <w:t>8. Информация на зерно, приобретенное у различных поставщиков</w:t>
      </w:r>
      <w:r w:rsidR="00886E20">
        <w:t>,</w:t>
      </w:r>
      <w:r w:rsidRPr="00CC6979">
        <w:t xml:space="preserve"> рассчитывается как средняя арифметическая величина по определенному подвиду зерна с соответствующими качественными характеристиками.</w:t>
      </w:r>
    </w:p>
    <w:p w:rsidR="00E56BB7" w:rsidRPr="00E56BB7" w:rsidRDefault="00E56BB7" w:rsidP="00CC6979">
      <w:pPr>
        <w:spacing w:line="270" w:lineRule="exact"/>
        <w:ind w:firstLine="709"/>
        <w:jc w:val="both"/>
        <w:rPr>
          <w:lang w:val="en-US"/>
        </w:rPr>
      </w:pPr>
      <w:r>
        <w:t xml:space="preserve">При </w:t>
      </w:r>
      <w:r w:rsidRPr="00E56BB7">
        <w:t>заполнении граф 5 и 8 необходимо подчеркнуть код нужного направления использования зерна.</w:t>
      </w:r>
    </w:p>
    <w:p w:rsidR="00E56BB7" w:rsidRPr="00E56BB7" w:rsidRDefault="00E56BB7" w:rsidP="00E56BB7">
      <w:pPr>
        <w:spacing w:line="270" w:lineRule="exact"/>
        <w:ind w:firstLine="709"/>
        <w:jc w:val="both"/>
      </w:pPr>
      <w:r w:rsidRPr="00E56BB7">
        <w:t>9. Информация о ценах приобретения по</w:t>
      </w:r>
      <w:r w:rsidRPr="00E56BB7">
        <w:rPr>
          <w:b/>
        </w:rPr>
        <w:t xml:space="preserve"> </w:t>
      </w:r>
      <w:r w:rsidRPr="00E56BB7">
        <w:t xml:space="preserve">конкретным  видам зерна приводится </w:t>
      </w:r>
      <w:r w:rsidRPr="00E56BB7">
        <w:rPr>
          <w:b/>
        </w:rPr>
        <w:t xml:space="preserve">с учетом уплаченных налогов, </w:t>
      </w:r>
      <w:r w:rsidRPr="00E56BB7">
        <w:t xml:space="preserve">транспортных, сбытовых, посреднических и других расходов по каждому из направлений использования зерна (например, </w:t>
      </w:r>
      <w:proofErr w:type="gramStart"/>
      <w:r w:rsidRPr="00E56BB7">
        <w:t>ячмень</w:t>
      </w:r>
      <w:proofErr w:type="gramEnd"/>
      <w:r w:rsidRPr="00E56BB7">
        <w:t xml:space="preserve"> приобретенный на производство продуктов мукомольной и крупяной промышленности – графа 3; на производство готовых кормов для животных – графа 4;</w:t>
      </w:r>
      <w:r w:rsidR="004E5E2D">
        <w:t xml:space="preserve"> на производство пива и солода </w:t>
      </w:r>
      <w:r w:rsidR="004E5E2D">
        <w:sym w:font="Symbol" w:char="F02D"/>
      </w:r>
      <w:r w:rsidRPr="00E56BB7">
        <w:t xml:space="preserve">  графа 5) в рублях, с двумя десятичными знаками после запятой.</w:t>
      </w:r>
    </w:p>
    <w:p w:rsidR="00E56BB7" w:rsidRPr="00E56BB7" w:rsidRDefault="00E56BB7" w:rsidP="00E56BB7">
      <w:pPr>
        <w:spacing w:line="270" w:lineRule="exact"/>
        <w:ind w:firstLine="709"/>
        <w:jc w:val="both"/>
      </w:pPr>
      <w:r w:rsidRPr="00E56BB7">
        <w:t>10. Информация о количестве приобретенных ви</w:t>
      </w:r>
      <w:r w:rsidR="004E5E2D">
        <w:t>дов зерна приводятся в графах 6</w:t>
      </w:r>
      <w:r w:rsidR="004E5E2D">
        <w:sym w:font="Symbol" w:char="F02D"/>
      </w:r>
      <w:r w:rsidRPr="00E56BB7">
        <w:t>8 также по каждому из направлений использования зерна в тоннах, с одним десятичным знаком после запятой.</w:t>
      </w:r>
    </w:p>
    <w:p w:rsidR="00CC6979" w:rsidRPr="00E56BB7" w:rsidRDefault="00CC6979" w:rsidP="00CC6979">
      <w:pPr>
        <w:spacing w:line="270" w:lineRule="exact"/>
        <w:ind w:firstLine="709"/>
        <w:jc w:val="both"/>
      </w:pPr>
      <w:r w:rsidRPr="00E56BB7">
        <w:t xml:space="preserve">11. Если организация предоставляет </w:t>
      </w:r>
      <w:r w:rsidR="00886E20" w:rsidRPr="00E56BB7">
        <w:t xml:space="preserve">первичные статистические данные </w:t>
      </w:r>
      <w:r w:rsidRPr="00E56BB7">
        <w:t xml:space="preserve"> о 2-х и более подвидах зерна с различными качественными характеристиками, производится расчет средних цен и общего количества приобретенного вида зерна по каждому направлению использования. Например, если по ржи наблюдается 3 подвида зерна, то рассчитывается суммарное количество приобретенных подвидов ржи, а расчет средней цены осуществляется делением суммарной стоимости приобретенного зерна ржи по подвидам на общее количество зерна ржи, и полученные значения проставляют в целом по позиции «рожь» по каждому направлению использования.</w:t>
      </w:r>
    </w:p>
    <w:p w:rsidR="00E56BB7" w:rsidRPr="00E56BB7" w:rsidRDefault="00E56BB7" w:rsidP="00E56BB7">
      <w:pPr>
        <w:spacing w:line="270" w:lineRule="exact"/>
        <w:ind w:firstLine="709"/>
        <w:jc w:val="both"/>
      </w:pPr>
      <w:r w:rsidRPr="00E56BB7">
        <w:t xml:space="preserve">12. В графе 9 указываются трехзначные коды причины изменения цены (или его отсутствия), в которых первый знак обозначает номер графы </w:t>
      </w:r>
      <w:r w:rsidR="003918DB">
        <w:t>по направлениям использования (</w:t>
      </w:r>
      <w:r w:rsidR="003918DB" w:rsidRPr="003918DB">
        <w:t>3</w:t>
      </w:r>
      <w:r w:rsidR="004E5E2D">
        <w:sym w:font="Symbol" w:char="F02D"/>
      </w:r>
      <w:r w:rsidR="003918DB" w:rsidRPr="003918DB">
        <w:t>5</w:t>
      </w:r>
      <w:r w:rsidRPr="00E56BB7">
        <w:t>), последующие два знака – код основной причины ее изменения на наблюдаемые виды продукции:</w:t>
      </w:r>
    </w:p>
    <w:p w:rsidR="00CC6979" w:rsidRPr="00E56BB7" w:rsidRDefault="00CC6979" w:rsidP="00CC6979">
      <w:pPr>
        <w:tabs>
          <w:tab w:val="center" w:pos="4536"/>
          <w:tab w:val="right" w:pos="9072"/>
        </w:tabs>
        <w:spacing w:line="270" w:lineRule="exact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8"/>
        <w:gridCol w:w="2410"/>
      </w:tblGrid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9" w:rsidRPr="00E56BB7" w:rsidRDefault="00CC6979" w:rsidP="00CC6979">
            <w:pPr>
              <w:spacing w:line="27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Код причины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2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</w:pPr>
            <w:r w:rsidRPr="00E56BB7">
              <w:t>Изменение объема приобретения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01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</w:pPr>
            <w:r w:rsidRPr="00E56BB7">
              <w:t>Заключение новых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02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</w:pPr>
            <w:r w:rsidRPr="00E56BB7">
              <w:t>Сезонное изменение цен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03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</w:pPr>
            <w:r w:rsidRPr="00E56BB7">
              <w:t>Изменение транспортных расходов, налогов и акцизов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09</w:t>
            </w:r>
          </w:p>
        </w:tc>
      </w:tr>
      <w:tr w:rsidR="00CC697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79" w:rsidRPr="00E56BB7" w:rsidRDefault="00CC6979" w:rsidP="00CC6979">
            <w:pPr>
              <w:spacing w:line="270" w:lineRule="exact"/>
            </w:pPr>
            <w:r w:rsidRPr="00E56BB7">
              <w:t>Другие причины изменения цены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979" w:rsidRPr="00E56BB7" w:rsidRDefault="00CC6979" w:rsidP="00CC6979">
            <w:pPr>
              <w:spacing w:line="270" w:lineRule="exact"/>
              <w:jc w:val="center"/>
            </w:pPr>
            <w:r w:rsidRPr="00E56BB7">
              <w:t>10</w:t>
            </w:r>
          </w:p>
        </w:tc>
      </w:tr>
      <w:tr w:rsidR="004B2DC9" w:rsidRPr="00E56BB7" w:rsidTr="004B2DC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9" w:rsidRPr="00E56BB7" w:rsidRDefault="004B2DC9" w:rsidP="00CC6979">
            <w:pPr>
              <w:spacing w:line="270" w:lineRule="exact"/>
            </w:pPr>
            <w:r w:rsidRPr="00E56BB7">
              <w:t>Отсутствует изменение цены или изменение незначительно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C9" w:rsidRPr="00E56BB7" w:rsidRDefault="004B2DC9" w:rsidP="00CC6979">
            <w:pPr>
              <w:spacing w:line="270" w:lineRule="exact"/>
              <w:jc w:val="center"/>
            </w:pPr>
            <w:r w:rsidRPr="00E56BB7">
              <w:t>13</w:t>
            </w:r>
          </w:p>
        </w:tc>
      </w:tr>
    </w:tbl>
    <w:p w:rsidR="00CC6979" w:rsidRPr="00E56BB7" w:rsidRDefault="00CC6979" w:rsidP="00CC6979">
      <w:pPr>
        <w:spacing w:line="270" w:lineRule="exact"/>
        <w:ind w:left="720"/>
        <w:jc w:val="both"/>
        <w:rPr>
          <w:sz w:val="23"/>
        </w:rPr>
      </w:pPr>
    </w:p>
    <w:p w:rsidR="00CC6979" w:rsidRPr="00E56BB7" w:rsidRDefault="00CC6979" w:rsidP="00CC6979">
      <w:pPr>
        <w:spacing w:line="270" w:lineRule="exact"/>
        <w:ind w:left="709" w:hanging="1"/>
        <w:jc w:val="both"/>
      </w:pPr>
      <w:r w:rsidRPr="00E56BB7">
        <w:t>Контроль при заполнении формы в электронном виде:</w:t>
      </w:r>
    </w:p>
    <w:p w:rsidR="004E2732" w:rsidRPr="00CC6979" w:rsidRDefault="004E5E2D" w:rsidP="001D5782">
      <w:pPr>
        <w:spacing w:line="270" w:lineRule="exact"/>
        <w:ind w:left="709"/>
        <w:jc w:val="both"/>
      </w:pPr>
      <w:r>
        <w:sym w:font="Symbol" w:char="F02D"/>
      </w:r>
      <w:r w:rsidR="00E56BB7" w:rsidRPr="00E56BB7">
        <w:t xml:space="preserve"> при наличии данных о ценах приобретения по кон</w:t>
      </w:r>
      <w:r>
        <w:t>кретным  видам зерна в графах 3</w:t>
      </w:r>
      <w:r>
        <w:sym w:font="Symbol" w:char="F02D"/>
      </w:r>
      <w:r w:rsidR="00E56BB7" w:rsidRPr="00E56BB7">
        <w:t>5 обязательно наличие соответствующих данных о количестве приоб</w:t>
      </w:r>
      <w:r>
        <w:t>ретенных видов зерна в графах 6</w:t>
      </w:r>
      <w:r>
        <w:sym w:font="Symbol" w:char="F02D"/>
      </w:r>
      <w:r w:rsidR="00E56BB7" w:rsidRPr="00E56BB7">
        <w:t>8 (в той же строке).</w:t>
      </w:r>
    </w:p>
    <w:sectPr w:rsidR="004E2732" w:rsidRPr="00CC6979" w:rsidSect="001D5782">
      <w:headerReference w:type="even" r:id="rId10"/>
      <w:headerReference w:type="default" r:id="rId11"/>
      <w:pgSz w:w="16840" w:h="11907" w:orient="landscape" w:code="9"/>
      <w:pgMar w:top="1021" w:right="1021" w:bottom="102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7B" w:rsidRDefault="00231D7B">
      <w:r>
        <w:separator/>
      </w:r>
    </w:p>
  </w:endnote>
  <w:endnote w:type="continuationSeparator" w:id="0">
    <w:p w:rsidR="00231D7B" w:rsidRDefault="0023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7B" w:rsidRDefault="00231D7B">
      <w:r>
        <w:separator/>
      </w:r>
    </w:p>
  </w:footnote>
  <w:footnote w:type="continuationSeparator" w:id="0">
    <w:p w:rsidR="00231D7B" w:rsidRDefault="0023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C2" w:rsidRDefault="00DB48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8C2" w:rsidRDefault="00DB48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C2" w:rsidRDefault="00DB48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5782">
      <w:rPr>
        <w:rStyle w:val="aa"/>
        <w:noProof/>
      </w:rPr>
      <w:t>2</w:t>
    </w:r>
    <w:r>
      <w:rPr>
        <w:rStyle w:val="aa"/>
      </w:rPr>
      <w:fldChar w:fldCharType="end"/>
    </w:r>
  </w:p>
  <w:p w:rsidR="00DB48C2" w:rsidRDefault="00DB4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A0A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5066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CC824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F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4004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81E0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87F7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87EE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449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9480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A1F39"/>
    <w:multiLevelType w:val="multilevel"/>
    <w:tmpl w:val="14D0C92A"/>
    <w:lvl w:ilvl="0">
      <w:numFmt w:val="bullet"/>
      <w:pStyle w:val="a1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BA00D2"/>
    <w:multiLevelType w:val="multilevel"/>
    <w:tmpl w:val="AABA3B34"/>
    <w:lvl w:ilvl="0">
      <w:start w:val="1"/>
      <w:numFmt w:val="decimal"/>
      <w:pStyle w:val="a2"/>
      <w:lvlText w:val="%1."/>
      <w:lvlJc w:val="left"/>
      <w:pPr>
        <w:tabs>
          <w:tab w:val="num" w:pos="1571"/>
        </w:tabs>
        <w:ind w:left="1571" w:hanging="360"/>
      </w:pPr>
    </w:lvl>
    <w:lvl w:ilvl="1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8F"/>
    <w:rsid w:val="000232FD"/>
    <w:rsid w:val="00035798"/>
    <w:rsid w:val="000428A5"/>
    <w:rsid w:val="0007352F"/>
    <w:rsid w:val="000A3E1A"/>
    <w:rsid w:val="000A6546"/>
    <w:rsid w:val="000C3B42"/>
    <w:rsid w:val="0012678D"/>
    <w:rsid w:val="001904AA"/>
    <w:rsid w:val="001943B1"/>
    <w:rsid w:val="001D5782"/>
    <w:rsid w:val="001E1ACE"/>
    <w:rsid w:val="001E5717"/>
    <w:rsid w:val="00205666"/>
    <w:rsid w:val="00226174"/>
    <w:rsid w:val="00231D7B"/>
    <w:rsid w:val="002325D0"/>
    <w:rsid w:val="00261F0F"/>
    <w:rsid w:val="002A5634"/>
    <w:rsid w:val="002B6F66"/>
    <w:rsid w:val="002F73CF"/>
    <w:rsid w:val="00324D8C"/>
    <w:rsid w:val="00362B05"/>
    <w:rsid w:val="003918DB"/>
    <w:rsid w:val="003E0558"/>
    <w:rsid w:val="00402F02"/>
    <w:rsid w:val="00411CFE"/>
    <w:rsid w:val="00413943"/>
    <w:rsid w:val="0045256A"/>
    <w:rsid w:val="00475741"/>
    <w:rsid w:val="004A1233"/>
    <w:rsid w:val="004B2DC9"/>
    <w:rsid w:val="004B3325"/>
    <w:rsid w:val="004B7B11"/>
    <w:rsid w:val="004C1487"/>
    <w:rsid w:val="004E2732"/>
    <w:rsid w:val="004E2E67"/>
    <w:rsid w:val="004E5E2D"/>
    <w:rsid w:val="004F0E22"/>
    <w:rsid w:val="00525FFA"/>
    <w:rsid w:val="00532D3D"/>
    <w:rsid w:val="00547416"/>
    <w:rsid w:val="005702D7"/>
    <w:rsid w:val="00570614"/>
    <w:rsid w:val="00582A77"/>
    <w:rsid w:val="00583556"/>
    <w:rsid w:val="005A3554"/>
    <w:rsid w:val="005B35A9"/>
    <w:rsid w:val="005D40CE"/>
    <w:rsid w:val="005F2F3B"/>
    <w:rsid w:val="005F34F0"/>
    <w:rsid w:val="00601DCC"/>
    <w:rsid w:val="0062396F"/>
    <w:rsid w:val="0063444D"/>
    <w:rsid w:val="00657B4E"/>
    <w:rsid w:val="00671F4C"/>
    <w:rsid w:val="006768F5"/>
    <w:rsid w:val="006B41C3"/>
    <w:rsid w:val="006C28C5"/>
    <w:rsid w:val="006C3C85"/>
    <w:rsid w:val="006E321A"/>
    <w:rsid w:val="006E4E75"/>
    <w:rsid w:val="00700B0D"/>
    <w:rsid w:val="007479D3"/>
    <w:rsid w:val="00753837"/>
    <w:rsid w:val="0077256E"/>
    <w:rsid w:val="007732B2"/>
    <w:rsid w:val="007F6A46"/>
    <w:rsid w:val="007F6A84"/>
    <w:rsid w:val="008029D8"/>
    <w:rsid w:val="0085580B"/>
    <w:rsid w:val="00874F18"/>
    <w:rsid w:val="00886E20"/>
    <w:rsid w:val="008B786E"/>
    <w:rsid w:val="008F1F8A"/>
    <w:rsid w:val="008F65A4"/>
    <w:rsid w:val="00912E0A"/>
    <w:rsid w:val="00924DB8"/>
    <w:rsid w:val="00995E7E"/>
    <w:rsid w:val="009D5156"/>
    <w:rsid w:val="00A100C3"/>
    <w:rsid w:val="00A40C8F"/>
    <w:rsid w:val="00A429F7"/>
    <w:rsid w:val="00A53832"/>
    <w:rsid w:val="00A8740F"/>
    <w:rsid w:val="00A923B5"/>
    <w:rsid w:val="00AA4B27"/>
    <w:rsid w:val="00AE5FB4"/>
    <w:rsid w:val="00B23A49"/>
    <w:rsid w:val="00B8398C"/>
    <w:rsid w:val="00B85703"/>
    <w:rsid w:val="00BA12E1"/>
    <w:rsid w:val="00BE06D3"/>
    <w:rsid w:val="00BF4485"/>
    <w:rsid w:val="00C05A37"/>
    <w:rsid w:val="00C178AB"/>
    <w:rsid w:val="00C23646"/>
    <w:rsid w:val="00C55634"/>
    <w:rsid w:val="00C6188A"/>
    <w:rsid w:val="00C71143"/>
    <w:rsid w:val="00C87E28"/>
    <w:rsid w:val="00CA5D4E"/>
    <w:rsid w:val="00CC6979"/>
    <w:rsid w:val="00CF6FAE"/>
    <w:rsid w:val="00D06AA4"/>
    <w:rsid w:val="00D12294"/>
    <w:rsid w:val="00DA3699"/>
    <w:rsid w:val="00DB48C2"/>
    <w:rsid w:val="00DB63FF"/>
    <w:rsid w:val="00DD0447"/>
    <w:rsid w:val="00DE5810"/>
    <w:rsid w:val="00DF387F"/>
    <w:rsid w:val="00E05EE5"/>
    <w:rsid w:val="00E16A43"/>
    <w:rsid w:val="00E35D39"/>
    <w:rsid w:val="00E4085C"/>
    <w:rsid w:val="00E56BB7"/>
    <w:rsid w:val="00E90408"/>
    <w:rsid w:val="00EA3F9D"/>
    <w:rsid w:val="00EE0B3E"/>
    <w:rsid w:val="00EE3092"/>
    <w:rsid w:val="00F34648"/>
    <w:rsid w:val="00F45A76"/>
    <w:rsid w:val="00F56E6E"/>
    <w:rsid w:val="00F70E71"/>
    <w:rsid w:val="00F83AAC"/>
    <w:rsid w:val="00F95FED"/>
    <w:rsid w:val="00FE321D"/>
    <w:rsid w:val="00FE5521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Pr>
      <w:sz w:val="24"/>
    </w:rPr>
  </w:style>
  <w:style w:type="paragraph" w:styleId="1">
    <w:name w:val="heading 1"/>
    <w:basedOn w:val="a4"/>
    <w:next w:val="a4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character" w:default="1" w:styleId="a5">
    <w:name w:val="Default Paragraph Font"/>
    <w:semiHidden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-1">
    <w:name w:val="абзац-1"/>
    <w:basedOn w:val="a4"/>
    <w:pPr>
      <w:spacing w:line="360" w:lineRule="auto"/>
      <w:ind w:firstLine="709"/>
    </w:pPr>
  </w:style>
  <w:style w:type="paragraph" w:styleId="a8">
    <w:name w:val="header"/>
    <w:basedOn w:val="a4"/>
    <w:link w:val="a9"/>
    <w:pPr>
      <w:tabs>
        <w:tab w:val="center" w:pos="4536"/>
        <w:tab w:val="right" w:pos="9072"/>
      </w:tabs>
    </w:pPr>
  </w:style>
  <w:style w:type="character" w:styleId="aa">
    <w:name w:val="page number"/>
    <w:basedOn w:val="a5"/>
    <w:semiHidden/>
  </w:style>
  <w:style w:type="paragraph" w:styleId="ab">
    <w:name w:val="Body Text"/>
    <w:basedOn w:val="a4"/>
    <w:link w:val="ac"/>
    <w:pPr>
      <w:widowControl w:val="0"/>
      <w:spacing w:after="120"/>
    </w:pPr>
    <w:rPr>
      <w:rFonts w:ascii="Arial" w:hAnsi="Arial"/>
      <w:sz w:val="20"/>
    </w:rPr>
  </w:style>
  <w:style w:type="paragraph" w:styleId="ad">
    <w:name w:val="Plain Text"/>
    <w:basedOn w:val="a4"/>
    <w:semiHidden/>
    <w:rPr>
      <w:rFonts w:ascii="Courier New" w:hAnsi="Courier New"/>
      <w:sz w:val="20"/>
    </w:rPr>
  </w:style>
  <w:style w:type="paragraph" w:styleId="a0">
    <w:name w:val="List Bullet"/>
    <w:basedOn w:val="a4"/>
    <w:autoRedefine/>
    <w:semiHidden/>
    <w:pPr>
      <w:numPr>
        <w:numId w:val="1"/>
      </w:numPr>
    </w:pPr>
    <w:rPr>
      <w:sz w:val="20"/>
    </w:rPr>
  </w:style>
  <w:style w:type="paragraph" w:styleId="20">
    <w:name w:val="List Bullet 2"/>
    <w:basedOn w:val="a4"/>
    <w:autoRedefine/>
    <w:semiHidden/>
    <w:pPr>
      <w:numPr>
        <w:numId w:val="2"/>
      </w:numPr>
    </w:pPr>
    <w:rPr>
      <w:sz w:val="20"/>
    </w:rPr>
  </w:style>
  <w:style w:type="paragraph" w:styleId="30">
    <w:name w:val="List Bullet 3"/>
    <w:basedOn w:val="a4"/>
    <w:autoRedefine/>
    <w:semiHidden/>
    <w:pPr>
      <w:numPr>
        <w:numId w:val="3"/>
      </w:numPr>
    </w:pPr>
    <w:rPr>
      <w:sz w:val="20"/>
    </w:rPr>
  </w:style>
  <w:style w:type="paragraph" w:styleId="40">
    <w:name w:val="List Bullet 4"/>
    <w:basedOn w:val="a4"/>
    <w:autoRedefine/>
    <w:semiHidden/>
    <w:pPr>
      <w:numPr>
        <w:numId w:val="4"/>
      </w:numPr>
    </w:pPr>
    <w:rPr>
      <w:sz w:val="20"/>
    </w:rPr>
  </w:style>
  <w:style w:type="paragraph" w:styleId="50">
    <w:name w:val="List Bullet 5"/>
    <w:basedOn w:val="a4"/>
    <w:autoRedefine/>
    <w:semiHidden/>
    <w:pPr>
      <w:numPr>
        <w:numId w:val="5"/>
      </w:numPr>
    </w:pPr>
    <w:rPr>
      <w:sz w:val="20"/>
    </w:rPr>
  </w:style>
  <w:style w:type="paragraph" w:styleId="a">
    <w:name w:val="List Number"/>
    <w:basedOn w:val="a4"/>
    <w:semiHidden/>
    <w:pPr>
      <w:numPr>
        <w:numId w:val="6"/>
      </w:numPr>
    </w:pPr>
    <w:rPr>
      <w:sz w:val="20"/>
    </w:rPr>
  </w:style>
  <w:style w:type="paragraph" w:styleId="2">
    <w:name w:val="List Number 2"/>
    <w:basedOn w:val="a4"/>
    <w:semiHidden/>
    <w:pPr>
      <w:numPr>
        <w:numId w:val="7"/>
      </w:numPr>
    </w:pPr>
    <w:rPr>
      <w:sz w:val="20"/>
    </w:rPr>
  </w:style>
  <w:style w:type="paragraph" w:styleId="3">
    <w:name w:val="List Number 3"/>
    <w:basedOn w:val="a4"/>
    <w:semiHidden/>
    <w:pPr>
      <w:numPr>
        <w:numId w:val="8"/>
      </w:numPr>
    </w:pPr>
    <w:rPr>
      <w:sz w:val="20"/>
    </w:rPr>
  </w:style>
  <w:style w:type="paragraph" w:styleId="4">
    <w:name w:val="List Number 4"/>
    <w:basedOn w:val="a4"/>
    <w:semiHidden/>
    <w:pPr>
      <w:numPr>
        <w:numId w:val="9"/>
      </w:numPr>
    </w:pPr>
    <w:rPr>
      <w:sz w:val="20"/>
    </w:rPr>
  </w:style>
  <w:style w:type="paragraph" w:styleId="5">
    <w:name w:val="List Number 5"/>
    <w:basedOn w:val="a4"/>
    <w:semiHidden/>
    <w:pPr>
      <w:numPr>
        <w:numId w:val="10"/>
      </w:numPr>
    </w:pPr>
    <w:rPr>
      <w:sz w:val="20"/>
    </w:rPr>
  </w:style>
  <w:style w:type="paragraph" w:styleId="ae">
    <w:name w:val="Body Text Indent"/>
    <w:basedOn w:val="a4"/>
    <w:link w:val="af"/>
    <w:semiHidden/>
    <w:pPr>
      <w:ind w:firstLine="709"/>
      <w:jc w:val="both"/>
    </w:pPr>
    <w:rPr>
      <w:sz w:val="22"/>
    </w:rPr>
  </w:style>
  <w:style w:type="paragraph" w:styleId="21">
    <w:name w:val="Body Text 2"/>
    <w:basedOn w:val="a4"/>
    <w:semiHidden/>
    <w:pPr>
      <w:tabs>
        <w:tab w:val="left" w:pos="10915"/>
      </w:tabs>
      <w:jc w:val="center"/>
    </w:pPr>
    <w:rPr>
      <w:sz w:val="26"/>
    </w:rPr>
  </w:style>
  <w:style w:type="paragraph" w:styleId="af0">
    <w:name w:val="footer"/>
    <w:basedOn w:val="a4"/>
    <w:semiHidden/>
    <w:pPr>
      <w:tabs>
        <w:tab w:val="center" w:pos="4153"/>
        <w:tab w:val="right" w:pos="8306"/>
      </w:tabs>
    </w:pPr>
  </w:style>
  <w:style w:type="paragraph" w:customStyle="1" w:styleId="a3">
    <w:name w:val="Пункт"/>
    <w:basedOn w:val="a4"/>
    <w:next w:val="a4"/>
    <w:pPr>
      <w:widowControl w:val="0"/>
      <w:numPr>
        <w:ilvl w:val="1"/>
        <w:numId w:val="11"/>
      </w:numPr>
      <w:tabs>
        <w:tab w:val="left" w:pos="851"/>
        <w:tab w:val="left" w:pos="993"/>
        <w:tab w:val="left" w:pos="1134"/>
      </w:tabs>
      <w:spacing w:before="40" w:after="40"/>
      <w:jc w:val="both"/>
    </w:pPr>
  </w:style>
  <w:style w:type="paragraph" w:styleId="22">
    <w:name w:val="Body Text Indent 2"/>
    <w:basedOn w:val="a4"/>
    <w:semiHidden/>
    <w:pPr>
      <w:widowControl w:val="0"/>
      <w:autoSpaceDE w:val="0"/>
      <w:autoSpaceDN w:val="0"/>
      <w:adjustRightInd w:val="0"/>
      <w:ind w:firstLine="709"/>
      <w:jc w:val="both"/>
    </w:pPr>
    <w:rPr>
      <w:sz w:val="23"/>
    </w:rPr>
  </w:style>
  <w:style w:type="paragraph" w:styleId="31">
    <w:name w:val="Body Text Indent 3"/>
    <w:basedOn w:val="a4"/>
    <w:semiHidden/>
    <w:pPr>
      <w:ind w:left="709" w:firstLine="707"/>
      <w:jc w:val="both"/>
    </w:pPr>
  </w:style>
  <w:style w:type="paragraph" w:customStyle="1" w:styleId="a1">
    <w:name w:val="Перечень"/>
    <w:basedOn w:val="a4"/>
    <w:pPr>
      <w:numPr>
        <w:numId w:val="12"/>
      </w:numPr>
      <w:tabs>
        <w:tab w:val="clear" w:pos="1789"/>
        <w:tab w:val="num" w:pos="1276"/>
      </w:tabs>
      <w:ind w:left="0" w:firstLine="851"/>
      <w:jc w:val="both"/>
    </w:pPr>
    <w:rPr>
      <w:sz w:val="26"/>
    </w:rPr>
  </w:style>
  <w:style w:type="paragraph" w:customStyle="1" w:styleId="a2">
    <w:name w:val="Абзац_номер"/>
    <w:basedOn w:val="a4"/>
    <w:pPr>
      <w:numPr>
        <w:numId w:val="13"/>
      </w:numPr>
      <w:tabs>
        <w:tab w:val="clear" w:pos="1571"/>
        <w:tab w:val="num" w:pos="1260"/>
      </w:tabs>
      <w:overflowPunct w:val="0"/>
      <w:autoSpaceDE w:val="0"/>
      <w:autoSpaceDN w:val="0"/>
      <w:adjustRightInd w:val="0"/>
      <w:spacing w:before="120"/>
      <w:ind w:left="0" w:firstLine="851"/>
      <w:jc w:val="both"/>
      <w:textAlignment w:val="baseline"/>
    </w:pPr>
    <w:rPr>
      <w:sz w:val="26"/>
    </w:rPr>
  </w:style>
  <w:style w:type="paragraph" w:styleId="af1">
    <w:name w:val="Balloon Text"/>
    <w:basedOn w:val="a4"/>
    <w:link w:val="af2"/>
    <w:semiHidden/>
    <w:rPr>
      <w:rFonts w:ascii="Tahoma" w:hAnsi="Tahoma"/>
      <w:sz w:val="16"/>
    </w:rPr>
  </w:style>
  <w:style w:type="paragraph" w:styleId="af3">
    <w:name w:val="Date"/>
    <w:basedOn w:val="a4"/>
    <w:next w:val="a4"/>
    <w:link w:val="af4"/>
    <w:rPr>
      <w:sz w:val="20"/>
    </w:rPr>
  </w:style>
  <w:style w:type="paragraph" w:customStyle="1" w:styleId="11">
    <w:name w:val="Стиль1"/>
    <w:basedOn w:val="a4"/>
    <w:pPr>
      <w:spacing w:line="360" w:lineRule="auto"/>
      <w:ind w:firstLine="709"/>
      <w:jc w:val="both"/>
    </w:pPr>
    <w:rPr>
      <w:rFonts w:ascii="Arial" w:hAnsi="Arial"/>
    </w:rPr>
  </w:style>
  <w:style w:type="paragraph" w:styleId="af5">
    <w:name w:val="footnote text"/>
    <w:basedOn w:val="a4"/>
    <w:link w:val="af6"/>
    <w:uiPriority w:val="99"/>
    <w:semiHidden/>
    <w:unhideWhenUsed/>
    <w:rsid w:val="00E05EE5"/>
    <w:rPr>
      <w:sz w:val="20"/>
    </w:rPr>
  </w:style>
  <w:style w:type="character" w:customStyle="1" w:styleId="af6">
    <w:name w:val="Текст сноски Знак"/>
    <w:basedOn w:val="a5"/>
    <w:link w:val="af5"/>
    <w:uiPriority w:val="99"/>
    <w:semiHidden/>
    <w:rsid w:val="00E05EE5"/>
  </w:style>
  <w:style w:type="character" w:styleId="af7">
    <w:name w:val="footnote reference"/>
    <w:semiHidden/>
    <w:unhideWhenUsed/>
    <w:rsid w:val="00E05EE5"/>
    <w:rPr>
      <w:vertAlign w:val="superscript"/>
    </w:rPr>
  </w:style>
  <w:style w:type="character" w:customStyle="1" w:styleId="10">
    <w:name w:val="Заголовок 1 Знак"/>
    <w:link w:val="1"/>
    <w:rsid w:val="004E2732"/>
    <w:rPr>
      <w:b/>
    </w:rPr>
  </w:style>
  <w:style w:type="character" w:customStyle="1" w:styleId="a9">
    <w:name w:val="Верхний колонтитул Знак"/>
    <w:link w:val="a8"/>
    <w:rsid w:val="004E2732"/>
    <w:rPr>
      <w:sz w:val="24"/>
    </w:rPr>
  </w:style>
  <w:style w:type="character" w:customStyle="1" w:styleId="ac">
    <w:name w:val="Основной текст Знак"/>
    <w:link w:val="ab"/>
    <w:rsid w:val="004E2732"/>
    <w:rPr>
      <w:rFonts w:ascii="Arial" w:hAnsi="Arial"/>
    </w:rPr>
  </w:style>
  <w:style w:type="character" w:customStyle="1" w:styleId="af">
    <w:name w:val="Основной текст с отступом Знак"/>
    <w:link w:val="ae"/>
    <w:semiHidden/>
    <w:rsid w:val="004E2732"/>
    <w:rPr>
      <w:sz w:val="22"/>
    </w:rPr>
  </w:style>
  <w:style w:type="character" w:customStyle="1" w:styleId="af4">
    <w:name w:val="Дата Знак"/>
    <w:link w:val="af3"/>
    <w:rsid w:val="004E2732"/>
  </w:style>
  <w:style w:type="character" w:customStyle="1" w:styleId="af2">
    <w:name w:val="Текст выноски Знак"/>
    <w:link w:val="af1"/>
    <w:semiHidden/>
    <w:rsid w:val="004E2732"/>
    <w:rPr>
      <w:rFonts w:ascii="Tahoma" w:hAnsi="Tahoma"/>
      <w:sz w:val="16"/>
    </w:rPr>
  </w:style>
  <w:style w:type="character" w:styleId="af8">
    <w:name w:val="Hyperlink"/>
    <w:uiPriority w:val="99"/>
    <w:semiHidden/>
    <w:unhideWhenUsed/>
    <w:rsid w:val="00411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E77DF3270BDC2BDF1076FA193D64C95CFF01E0A2D01D6E4A22225914D32FFDDF90A350920A417FA029CC3BBC3D9D69B9D68F7ADF3B57AL5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0C33-4074-4ACC-A426-A879354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9634</CharactersWithSpaces>
  <SharedDoc>false</SharedDoc>
  <HLinks>
    <vt:vector size="12" baseType="variant"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consultantplus://offline/ref=1A8E77DF3270BDC2BDF1076FA193D64C95CFF01E0A2D01D6E4A22225914D32FFDDF90A350920A417FA029CC3BBC3D9D69B9D68F7ADF3B57AL5W8N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2014-08-05T02:08:00Z</cp:lastPrinted>
  <dcterms:created xsi:type="dcterms:W3CDTF">2020-02-03T00:06:00Z</dcterms:created>
  <dcterms:modified xsi:type="dcterms:W3CDTF">2020-02-03T00:06:00Z</dcterms:modified>
</cp:coreProperties>
</file>